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B5816">
        <w:rPr>
          <w:rFonts w:ascii="Times New Roman" w:hAnsi="Times New Roman" w:cs="Times New Roman"/>
          <w:sz w:val="24"/>
          <w:szCs w:val="24"/>
        </w:rPr>
        <w:t xml:space="preserve"> О получении имущественного вычета по НДФЛ налогоплательщиками, получающими пенсии, при приобретении (строительстве) жилья.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 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1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 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16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16">
        <w:rPr>
          <w:rFonts w:ascii="Times New Roman" w:hAnsi="Times New Roman" w:cs="Times New Roman"/>
          <w:b/>
          <w:sz w:val="24"/>
          <w:szCs w:val="24"/>
        </w:rPr>
        <w:t>от 11 июля 2019 г. N 03-04-05/51252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 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Департамент налоговой и таможенной политики рассмотрел обращение с предложением об изменении порядка предоставления имущественного налогового вычета по налогу на доходы физических лиц налогоплательщикам, получающим пенсии, и сообщает следующее.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816">
        <w:rPr>
          <w:rFonts w:ascii="Times New Roman" w:hAnsi="Times New Roman" w:cs="Times New Roman"/>
          <w:sz w:val="24"/>
          <w:szCs w:val="24"/>
        </w:rPr>
        <w:t>В настоящее время в соответствии с подпунктом 3 пункта 1 статьи 220 Налогового кодекса Российской Ф</w:t>
      </w:r>
      <w:bookmarkStart w:id="0" w:name="_GoBack"/>
      <w:bookmarkEnd w:id="0"/>
      <w:r w:rsidRPr="00AB5816">
        <w:rPr>
          <w:rFonts w:ascii="Times New Roman" w:hAnsi="Times New Roman" w:cs="Times New Roman"/>
          <w:sz w:val="24"/>
          <w:szCs w:val="24"/>
        </w:rPr>
        <w:t>едерации (далее - Кодекс)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</w:t>
      </w:r>
      <w:proofErr w:type="gramEnd"/>
      <w:r w:rsidRPr="00AB5816">
        <w:rPr>
          <w:rFonts w:ascii="Times New Roman" w:hAnsi="Times New Roman" w:cs="Times New Roman"/>
          <w:sz w:val="24"/>
          <w:szCs w:val="24"/>
        </w:rPr>
        <w:t xml:space="preserve">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 При этом согласно подпункту 1 пункта 3 статьи 220 Кодекса размер имущественного налогового вычета не может превышать 2 000 000 рублей.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816">
        <w:rPr>
          <w:rFonts w:ascii="Times New Roman" w:hAnsi="Times New Roman" w:cs="Times New Roman"/>
          <w:sz w:val="24"/>
          <w:szCs w:val="24"/>
        </w:rPr>
        <w:t>Согласно пункту 10 статьи 220 Кодекса 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статьи 220 Кодекса, могут быть перенесены на предшествующие налоговые периоды, но не более трех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Основными направлениями бюджетной, налоговой и таможенно-тарифной политики Российской Федерации на 2019 год и на плановый период 2020 и 2021 годов изменение порядка получения имущественного налогового вычета по налогу на доходы физических лиц не предусмотрено.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 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Р.А.СААКЯН</w:t>
      </w:r>
    </w:p>
    <w:p w:rsidR="00AB5816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11.07.2019</w:t>
      </w:r>
    </w:p>
    <w:p w:rsidR="00E05FE2" w:rsidRPr="00AB5816" w:rsidRDefault="00AB5816" w:rsidP="00AB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24"/>
          <w:szCs w:val="24"/>
        </w:rPr>
        <w:t> </w:t>
      </w:r>
    </w:p>
    <w:sectPr w:rsidR="00E05FE2" w:rsidRPr="00A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4"/>
    <w:rsid w:val="00015734"/>
    <w:rsid w:val="00723A33"/>
    <w:rsid w:val="00AB5816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2019-07-18T12:46:00Z</dcterms:created>
  <dcterms:modified xsi:type="dcterms:W3CDTF">2019-07-18T12:47:00Z</dcterms:modified>
</cp:coreProperties>
</file>